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F5" w:rsidRDefault="00CC424F">
      <w:pPr>
        <w:rPr>
          <w:rFonts w:ascii="Arial" w:hAnsi="Arial"/>
          <w:b/>
          <w:bCs/>
          <w:sz w:val="32"/>
          <w:szCs w:val="32"/>
          <w:lang w:val="de-DE"/>
        </w:rPr>
      </w:pPr>
      <w:bookmarkStart w:id="0" w:name="_GoBack"/>
      <w:bookmarkEnd w:id="0"/>
      <w:r>
        <w:rPr>
          <w:rFonts w:ascii="Arial" w:hAnsi="Arial"/>
          <w:b/>
          <w:bCs/>
          <w:sz w:val="32"/>
          <w:szCs w:val="32"/>
          <w:lang w:val="de-DE"/>
        </w:rPr>
        <w:t>Muster für einen Studienbericht (in Auszügen)</w:t>
      </w:r>
    </w:p>
    <w:p w:rsidR="005B63F5" w:rsidRPr="00CC424F" w:rsidRDefault="00CC424F">
      <w:pPr>
        <w:rPr>
          <w:lang w:val="de-DE"/>
        </w:rPr>
      </w:pPr>
      <w:r>
        <w:rPr>
          <w:rFonts w:ascii="Arial" w:hAnsi="Arial"/>
          <w:b/>
          <w:bCs/>
          <w:sz w:val="32"/>
          <w:szCs w:val="32"/>
          <w:lang w:val="de-DE"/>
        </w:rPr>
        <w:t xml:space="preserve">im Fach </w:t>
      </w:r>
      <w:r>
        <w:rPr>
          <w:rFonts w:ascii="Arial" w:hAnsi="Arial"/>
          <w:b/>
          <w:bCs/>
          <w:sz w:val="32"/>
          <w:szCs w:val="32"/>
          <w:u w:val="single"/>
          <w:lang w:val="de-DE"/>
        </w:rPr>
        <w:t>Mathematik</w:t>
      </w:r>
      <w:r>
        <w:rPr>
          <w:rFonts w:ascii="Arial" w:hAnsi="Arial"/>
          <w:b/>
          <w:bCs/>
          <w:sz w:val="32"/>
          <w:szCs w:val="32"/>
          <w:lang w:val="de-DE"/>
        </w:rPr>
        <w:t xml:space="preserve">  LK         </w:t>
      </w:r>
      <w:r>
        <w:rPr>
          <w:rFonts w:ascii="Arial" w:hAnsi="Arial"/>
          <w:b/>
          <w:bCs/>
          <w:sz w:val="32"/>
          <w:szCs w:val="32"/>
          <w:lang w:val="de-DE"/>
        </w:rPr>
        <w:tab/>
      </w:r>
      <w:r>
        <w:rPr>
          <w:rFonts w:ascii="Arial" w:hAnsi="Arial"/>
          <w:b/>
          <w:bCs/>
          <w:sz w:val="32"/>
          <w:szCs w:val="32"/>
          <w:lang w:val="de-DE"/>
        </w:rPr>
        <w:tab/>
      </w:r>
      <w:r>
        <w:rPr>
          <w:rFonts w:ascii="Arial" w:hAnsi="Arial"/>
          <w:b/>
          <w:bCs/>
          <w:sz w:val="32"/>
          <w:szCs w:val="32"/>
          <w:lang w:val="de-DE"/>
        </w:rPr>
        <w:tab/>
      </w:r>
      <w:r>
        <w:rPr>
          <w:rFonts w:ascii="Arial" w:hAnsi="Arial"/>
          <w:b/>
          <w:bCs/>
          <w:sz w:val="32"/>
          <w:szCs w:val="32"/>
          <w:lang w:val="de-DE"/>
        </w:rPr>
        <w:tab/>
      </w:r>
      <w:r>
        <w:rPr>
          <w:rFonts w:ascii="Arial" w:hAnsi="Arial"/>
          <w:b/>
          <w:bCs/>
          <w:sz w:val="32"/>
          <w:szCs w:val="32"/>
          <w:lang w:val="de-DE"/>
        </w:rPr>
        <w:tab/>
      </w:r>
      <w:r>
        <w:rPr>
          <w:rFonts w:ascii="Arial" w:hAnsi="Arial"/>
          <w:b/>
          <w:bCs/>
          <w:sz w:val="32"/>
          <w:szCs w:val="32"/>
          <w:lang w:val="de-DE"/>
        </w:rPr>
        <w:tab/>
      </w:r>
      <w:r>
        <w:rPr>
          <w:rFonts w:ascii="Arial" w:hAnsi="Arial"/>
          <w:b/>
          <w:bCs/>
          <w:sz w:val="32"/>
          <w:szCs w:val="32"/>
          <w:lang w:val="de-DE"/>
        </w:rPr>
        <w:tab/>
      </w:r>
      <w:r>
        <w:rPr>
          <w:rFonts w:ascii="Arial" w:hAnsi="Arial"/>
          <w:b/>
          <w:bCs/>
          <w:sz w:val="32"/>
          <w:szCs w:val="32"/>
          <w:lang w:val="de-DE"/>
        </w:rPr>
        <w:tab/>
      </w:r>
      <w:r>
        <w:rPr>
          <w:rFonts w:ascii="Arial" w:hAnsi="Arial"/>
          <w:b/>
          <w:bCs/>
          <w:sz w:val="32"/>
          <w:szCs w:val="32"/>
          <w:lang w:val="de-DE"/>
        </w:rPr>
        <w:tab/>
        <w:t>Name:</w:t>
      </w:r>
    </w:p>
    <w:p w:rsidR="005B63F5" w:rsidRDefault="005B63F5">
      <w:pPr>
        <w:rPr>
          <w:rFonts w:ascii="Arial" w:hAnsi="Arial"/>
          <w:b/>
          <w:bCs/>
          <w:sz w:val="32"/>
          <w:szCs w:val="32"/>
          <w:lang w:val="de-DE"/>
        </w:rPr>
      </w:pPr>
    </w:p>
    <w:p w:rsidR="005B63F5" w:rsidRPr="00CC424F" w:rsidRDefault="00CC424F">
      <w:pPr>
        <w:rPr>
          <w:lang w:val="de-DE"/>
        </w:rPr>
      </w:pPr>
      <w:r>
        <w:rPr>
          <w:rFonts w:ascii="Arial" w:hAnsi="Arial"/>
          <w:lang w:val="de-DE"/>
        </w:rPr>
        <w:t>Zur Vorbereitung verwendetes Hilfsmittel   □  GTR  ……………… (</w:t>
      </w:r>
      <w:r>
        <w:rPr>
          <w:rFonts w:ascii="Arial" w:hAnsi="Arial"/>
          <w:sz w:val="18"/>
          <w:szCs w:val="18"/>
          <w:lang w:val="de-DE"/>
        </w:rPr>
        <w:t>Modell und Typbezeichnung sind v</w:t>
      </w:r>
      <w:r>
        <w:rPr>
          <w:rFonts w:ascii="Arial" w:hAnsi="Arial"/>
          <w:color w:val="000000"/>
          <w:sz w:val="18"/>
          <w:szCs w:val="18"/>
          <w:lang w:val="de-DE"/>
        </w:rPr>
        <w:t>om Bewerber anzugeben</w:t>
      </w:r>
      <w:proofErr w:type="gramStart"/>
      <w:r>
        <w:rPr>
          <w:rFonts w:ascii="Arial" w:hAnsi="Arial"/>
          <w:color w:val="000000"/>
          <w:sz w:val="18"/>
          <w:szCs w:val="18"/>
          <w:lang w:val="de-DE"/>
        </w:rPr>
        <w:t>. )</w:t>
      </w:r>
      <w:proofErr w:type="gramEnd"/>
      <w:r>
        <w:rPr>
          <w:rFonts w:ascii="Arial" w:hAnsi="Arial"/>
          <w:color w:val="000000"/>
          <w:lang w:val="de-DE"/>
        </w:rPr>
        <w:tab/>
      </w:r>
    </w:p>
    <w:p w:rsidR="005B63F5" w:rsidRPr="00CC424F" w:rsidRDefault="00CC424F">
      <w:pPr>
        <w:tabs>
          <w:tab w:val="left" w:pos="5954"/>
        </w:tabs>
        <w:rPr>
          <w:lang w:val="de-DE"/>
        </w:rPr>
      </w:pPr>
      <w:r>
        <w:rPr>
          <w:rFonts w:ascii="Arial" w:hAnsi="Arial"/>
          <w:b/>
          <w:bCs/>
          <w:color w:val="000000"/>
          <w:sz w:val="18"/>
          <w:szCs w:val="18"/>
          <w:lang w:val="de-DE"/>
        </w:rPr>
        <w:t>(Modell und Typ sind mit der Schule abzusprechen)</w:t>
      </w:r>
      <w:r>
        <w:rPr>
          <w:rFonts w:ascii="Arial" w:hAnsi="Arial"/>
          <w:b/>
          <w:bCs/>
          <w:color w:val="000000"/>
          <w:sz w:val="32"/>
          <w:szCs w:val="32"/>
          <w:lang w:val="de-DE"/>
        </w:rPr>
        <w:tab/>
      </w:r>
      <w:r>
        <w:rPr>
          <w:rFonts w:ascii="Arial" w:eastAsia="Times New Roman" w:hAnsi="Arial"/>
          <w:b/>
          <w:bCs/>
          <w:color w:val="000000"/>
          <w:sz w:val="32"/>
          <w:szCs w:val="32"/>
          <w:lang w:val="de-DE"/>
        </w:rPr>
        <w:t>□</w:t>
      </w:r>
      <w:r>
        <w:rPr>
          <w:rFonts w:ascii="Arial" w:hAnsi="Arial"/>
          <w:b/>
          <w:bCs/>
          <w:color w:val="000000"/>
          <w:sz w:val="32"/>
          <w:szCs w:val="32"/>
          <w:lang w:val="de-DE"/>
        </w:rPr>
        <w:t xml:space="preserve">  CAS   ………………</w:t>
      </w:r>
    </w:p>
    <w:p w:rsidR="005B63F5" w:rsidRDefault="005B63F5">
      <w:pPr>
        <w:rPr>
          <w:rFonts w:ascii="Arial" w:hAnsi="Arial"/>
          <w:lang w:val="de-DE"/>
        </w:rPr>
      </w:pPr>
    </w:p>
    <w:tbl>
      <w:tblPr>
        <w:tblW w:w="14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4630"/>
        <w:gridCol w:w="2551"/>
        <w:gridCol w:w="2856"/>
        <w:gridCol w:w="2450"/>
      </w:tblGrid>
      <w:tr w:rsidR="005B63F5" w:rsidRPr="00CC424F">
        <w:tblPrEx>
          <w:tblCellMar>
            <w:top w:w="0" w:type="dxa"/>
            <w:bottom w:w="0" w:type="dxa"/>
          </w:tblCellMar>
        </w:tblPrEx>
        <w:tc>
          <w:tcPr>
            <w:tcW w:w="2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  <w:jc w:val="center"/>
              <w:rPr>
                <w:rFonts w:ascii="Arial" w:hAnsi="Arial"/>
                <w:b/>
                <w:bCs/>
                <w:lang w:val="de-DE"/>
              </w:rPr>
            </w:pPr>
            <w:r>
              <w:rPr>
                <w:rFonts w:ascii="Arial" w:hAnsi="Arial"/>
                <w:b/>
                <w:bCs/>
                <w:lang w:val="de-DE"/>
              </w:rPr>
              <w:t>Vorgaben</w:t>
            </w:r>
          </w:p>
          <w:p w:rsidR="005B63F5" w:rsidRDefault="005B63F5">
            <w:pPr>
              <w:pStyle w:val="TableContents"/>
              <w:jc w:val="center"/>
              <w:rPr>
                <w:rFonts w:ascii="Arial" w:hAnsi="Arial"/>
                <w:b/>
                <w:bCs/>
                <w:lang w:val="de-DE"/>
              </w:rPr>
            </w:pPr>
          </w:p>
          <w:p w:rsidR="005B63F5" w:rsidRPr="00CC424F" w:rsidRDefault="00CC424F">
            <w:pPr>
              <w:pStyle w:val="TableContents"/>
              <w:rPr>
                <w:lang w:val="de-DE"/>
              </w:rPr>
            </w:pPr>
            <w:r>
              <w:rPr>
                <w:rFonts w:ascii="Arial" w:hAnsi="Arial"/>
                <w:lang w:val="de-DE"/>
              </w:rPr>
              <w:t>gem. Fachleh</w:t>
            </w:r>
            <w:r>
              <w:rPr>
                <w:rFonts w:ascii="Arial" w:hAnsi="Arial"/>
                <w:lang w:val="de-DE"/>
              </w:rPr>
              <w:t>r</w:t>
            </w:r>
            <w:r>
              <w:rPr>
                <w:rFonts w:ascii="Arial" w:hAnsi="Arial"/>
                <w:lang w:val="de-DE"/>
              </w:rPr>
              <w:t xml:space="preserve">plan und </w:t>
            </w:r>
            <w:proofErr w:type="spellStart"/>
            <w:r>
              <w:rPr>
                <w:rFonts w:ascii="Arial" w:hAnsi="Arial"/>
                <w:lang w:val="de-DE"/>
              </w:rPr>
              <w:t>Fachl</w:t>
            </w:r>
            <w:proofErr w:type="spellEnd"/>
            <w:r>
              <w:rPr>
                <w:rFonts w:ascii="Arial" w:hAnsi="Arial"/>
                <w:lang w:val="de-DE"/>
              </w:rPr>
              <w:t>. Vorgaben für das Abitur im Jahr 2017</w:t>
            </w:r>
          </w:p>
        </w:tc>
        <w:tc>
          <w:tcPr>
            <w:tcW w:w="4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Kompetenzen</w:t>
            </w:r>
            <w:proofErr w:type="spellEnd"/>
          </w:p>
        </w:tc>
        <w:tc>
          <w:tcPr>
            <w:tcW w:w="7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  <w:jc w:val="center"/>
              <w:rPr>
                <w:rFonts w:ascii="Arial" w:hAnsi="Arial"/>
                <w:b/>
                <w:bCs/>
                <w:lang w:val="de-DE"/>
              </w:rPr>
            </w:pPr>
            <w:r>
              <w:rPr>
                <w:rFonts w:ascii="Arial" w:hAnsi="Arial"/>
                <w:b/>
                <w:bCs/>
                <w:lang w:val="de-DE"/>
              </w:rPr>
              <w:t>II. individuelle Konkretisierung der Angaben zur  Vorbereitung</w:t>
            </w:r>
          </w:p>
        </w:tc>
      </w:tr>
      <w:tr w:rsidR="005B63F5">
        <w:tblPrEx>
          <w:tblCellMar>
            <w:top w:w="0" w:type="dxa"/>
            <w:bottom w:w="0" w:type="dxa"/>
          </w:tblCellMar>
        </w:tblPrEx>
        <w:tc>
          <w:tcPr>
            <w:tcW w:w="2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1. </w:t>
            </w:r>
            <w:proofErr w:type="spellStart"/>
            <w:r>
              <w:rPr>
                <w:rFonts w:ascii="Arial" w:hAnsi="Arial"/>
                <w:b/>
                <w:bCs/>
              </w:rPr>
              <w:t>inhaltlich</w:t>
            </w:r>
            <w:proofErr w:type="spellEnd"/>
          </w:p>
        </w:tc>
        <w:tc>
          <w:tcPr>
            <w:tcW w:w="2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2. </w:t>
            </w:r>
            <w:proofErr w:type="spellStart"/>
            <w:r>
              <w:rPr>
                <w:rFonts w:ascii="Arial" w:hAnsi="Arial"/>
                <w:b/>
                <w:bCs/>
              </w:rPr>
              <w:t>fachmethodisch</w:t>
            </w:r>
            <w:proofErr w:type="spellEnd"/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3. </w:t>
            </w:r>
            <w:proofErr w:type="spellStart"/>
            <w:r>
              <w:rPr>
                <w:rFonts w:ascii="Arial" w:hAnsi="Arial"/>
                <w:b/>
                <w:bCs/>
              </w:rPr>
              <w:t>verwendete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Lern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- und </w:t>
            </w:r>
            <w:proofErr w:type="spellStart"/>
            <w:r>
              <w:rPr>
                <w:rFonts w:ascii="Arial" w:hAnsi="Arial"/>
                <w:b/>
                <w:bCs/>
              </w:rPr>
              <w:t>Arbeitsmateri</w:t>
            </w:r>
            <w:r>
              <w:rPr>
                <w:rFonts w:ascii="Arial" w:hAnsi="Arial"/>
                <w:b/>
                <w:bCs/>
              </w:rPr>
              <w:softHyphen/>
              <w:t>alien</w:t>
            </w:r>
            <w:proofErr w:type="spellEnd"/>
          </w:p>
        </w:tc>
      </w:tr>
      <w:tr w:rsidR="005B63F5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shd w:val="clear" w:color="auto" w:fill="CCCCCC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Funktionen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und Analysis</w:t>
            </w: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5B63F5" w:rsidRPr="00CC424F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Funktionen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als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mathematische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Modelle</w:t>
            </w:r>
            <w:proofErr w:type="spellEnd"/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Pr="00CC424F" w:rsidRDefault="00CC424F">
            <w:pPr>
              <w:pStyle w:val="Listenabsatz"/>
              <w:widowControl/>
              <w:numPr>
                <w:ilvl w:val="0"/>
                <w:numId w:val="2"/>
              </w:numPr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führen </w:t>
            </w:r>
            <w:proofErr w:type="spellStart"/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Extremalprobleme</w:t>
            </w:r>
            <w:proofErr w:type="spellEnd"/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 durch Kombination mit Nebenbedingungen auf Funktionen einer Variablen zurück und lösen 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diese,</w:t>
            </w:r>
          </w:p>
          <w:p w:rsidR="005B63F5" w:rsidRDefault="00CC424F">
            <w:pPr>
              <w:pStyle w:val="Listenabsatz"/>
              <w:widowControl/>
              <w:numPr>
                <w:ilvl w:val="0"/>
                <w:numId w:val="2"/>
              </w:numPr>
              <w:autoSpaceDE w:val="0"/>
              <w:ind w:left="322" w:hanging="283"/>
              <w:textAlignment w:val="auto"/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interpretieren Parameter von Funktionen im Kontext und untersuchen ihren Einfluss auf Eigenschaften von Funktionenscharen,</w:t>
            </w:r>
          </w:p>
          <w:p w:rsidR="005B63F5" w:rsidRPr="00CC424F" w:rsidRDefault="00CC424F">
            <w:pPr>
              <w:pStyle w:val="Listenabsatz"/>
              <w:widowControl/>
              <w:numPr>
                <w:ilvl w:val="0"/>
                <w:numId w:val="2"/>
              </w:numPr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bestimmen Parameter einer Funktion mithilfe von Bedingungen, die sich aus dem Kontext ergeben („Steckbriefaufgaben“),</w:t>
            </w:r>
          </w:p>
          <w:p w:rsidR="005B63F5" w:rsidRPr="00CC424F" w:rsidRDefault="00CC424F">
            <w:pPr>
              <w:pStyle w:val="Listenabsatz"/>
              <w:widowControl/>
              <w:numPr>
                <w:ilvl w:val="0"/>
                <w:numId w:val="2"/>
              </w:numPr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führen 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Eigenschaften von zusammengesetzten Funktionen (Summe, Produkt, Verkettung) argumentativ auf deren Bestandteile zurück,</w:t>
            </w:r>
          </w:p>
          <w:p w:rsidR="005B63F5" w:rsidRPr="00CC424F" w:rsidRDefault="00CC424F">
            <w:pPr>
              <w:pStyle w:val="Listenabsatz"/>
              <w:widowControl/>
              <w:numPr>
                <w:ilvl w:val="0"/>
                <w:numId w:val="2"/>
              </w:numPr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beschreiben die Eigenschaften von Exponentialfunktionen und begründen die besondere Eigenschaft der natürlichen 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lastRenderedPageBreak/>
              <w:t>Exponentialfunktion,</w:t>
            </w:r>
          </w:p>
          <w:p w:rsidR="005B63F5" w:rsidRDefault="00CC424F">
            <w:pPr>
              <w:pStyle w:val="Listenabsatz"/>
              <w:widowControl/>
              <w:numPr>
                <w:ilvl w:val="0"/>
                <w:numId w:val="2"/>
              </w:numPr>
              <w:autoSpaceDE w:val="0"/>
              <w:ind w:left="322" w:hanging="283"/>
              <w:textAlignment w:val="auto"/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nut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zen die natürliche Logarithmusfunktion als Umkehrfunktion der natürlichen Exponentialfunktion,</w:t>
            </w:r>
          </w:p>
          <w:p w:rsidR="005B63F5" w:rsidRPr="00CC424F" w:rsidRDefault="00CC424F">
            <w:pPr>
              <w:pStyle w:val="Listenabsatz"/>
              <w:widowControl/>
              <w:numPr>
                <w:ilvl w:val="0"/>
                <w:numId w:val="2"/>
              </w:numPr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verwenden Exponentialfunktionen zur Beschreibung von Wachstums- und Zerfallsvorgängen und vergleichen die Qualität der Modellierung exemplarisch mit einem begren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zten Wachstum,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5B63F5" w:rsidRDefault="00CC424F">
            <w:pPr>
              <w:pStyle w:val="TableContents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de-DE"/>
              </w:rPr>
              <w:t>(vom Bewerber ausz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de-DE"/>
              </w:rPr>
              <w:t>u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de-DE"/>
              </w:rPr>
              <w:t>füllen)</w:t>
            </w:r>
          </w:p>
        </w:tc>
        <w:tc>
          <w:tcPr>
            <w:tcW w:w="2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Modellieren</w:t>
            </w:r>
            <w:proofErr w:type="spellEnd"/>
          </w:p>
          <w:p w:rsidR="005B63F5" w:rsidRDefault="00CC424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Argumentieren</w:t>
            </w:r>
            <w:proofErr w:type="spellEnd"/>
          </w:p>
          <w:p w:rsidR="005B63F5" w:rsidRDefault="00CC424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Kommunizieren</w:t>
            </w:r>
            <w:proofErr w:type="spellEnd"/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Allgemeine Werke zur Vorbereitung</w:t>
            </w:r>
          </w:p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5B63F5" w:rsidRPr="00CC424F" w:rsidRDefault="00CC424F">
            <w:pPr>
              <w:pStyle w:val="TableContents"/>
              <w:rPr>
                <w:lang w:val="de-DE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de-DE"/>
              </w:rPr>
              <w:t>(vom Bewerber au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de-DE"/>
              </w:rPr>
              <w:t>s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de-DE"/>
              </w:rPr>
              <w:t>zufüllen)</w:t>
            </w:r>
          </w:p>
        </w:tc>
      </w:tr>
      <w:tr w:rsidR="005B63F5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Fortführung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der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Differentialrec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h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nung</w:t>
            </w:r>
            <w:proofErr w:type="spellEnd"/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Listenabsatz"/>
              <w:widowControl/>
              <w:numPr>
                <w:ilvl w:val="0"/>
                <w:numId w:val="3"/>
              </w:numPr>
              <w:autoSpaceDE w:val="0"/>
              <w:ind w:left="322"/>
              <w:textAlignment w:val="auto"/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verwenden notwendige Kriterien und Vorzeichenwechselkriterien sowie 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weitere hinreichende Kriterien zur Bestimmung von Extrem- und Wendepunkten,</w:t>
            </w:r>
          </w:p>
          <w:p w:rsidR="005B63F5" w:rsidRDefault="00CC424F">
            <w:pPr>
              <w:pStyle w:val="Listenabsatz"/>
              <w:widowControl/>
              <w:numPr>
                <w:ilvl w:val="0"/>
                <w:numId w:val="3"/>
              </w:numPr>
              <w:autoSpaceDE w:val="0"/>
              <w:ind w:left="322"/>
              <w:textAlignment w:val="auto"/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beschreiben das Krümmungsverhalten des Graphen einer Funktion mithilfe der 2. Ableitung,</w:t>
            </w:r>
          </w:p>
          <w:p w:rsidR="005B63F5" w:rsidRDefault="00CC424F">
            <w:pPr>
              <w:pStyle w:val="Listenabsatz"/>
              <w:widowControl/>
              <w:numPr>
                <w:ilvl w:val="0"/>
                <w:numId w:val="3"/>
              </w:numPr>
              <w:autoSpaceDE w:val="0"/>
              <w:ind w:left="322"/>
              <w:textAlignment w:val="auto"/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bilden die Ableitungen weiterer Funktionen:</w:t>
            </w:r>
          </w:p>
          <w:p w:rsidR="005B63F5" w:rsidRPr="00CC424F" w:rsidRDefault="00CC424F">
            <w:pPr>
              <w:widowControl/>
              <w:autoSpaceDE w:val="0"/>
              <w:ind w:left="322"/>
              <w:textAlignment w:val="auto"/>
              <w:rPr>
                <w:lang w:val="de-DE"/>
              </w:rPr>
            </w:pPr>
            <w:r>
              <w:rPr>
                <w:rFonts w:ascii="Arial" w:hAnsi="Arial"/>
                <w:b/>
                <w:bCs/>
                <w:kern w:val="0"/>
                <w:sz w:val="22"/>
                <w:szCs w:val="22"/>
                <w:lang w:val="de-DE" w:bidi="ar-SA"/>
              </w:rPr>
              <w:t xml:space="preserve">– </w:t>
            </w:r>
            <w:r>
              <w:rPr>
                <w:rFonts w:ascii="Arial" w:hAnsi="Arial"/>
                <w:kern w:val="0"/>
                <w:sz w:val="22"/>
                <w:szCs w:val="22"/>
                <w:lang w:val="de-DE" w:bidi="ar-SA"/>
              </w:rPr>
              <w:t>Potenzfunktionen mit rationalen Exp</w:t>
            </w:r>
            <w:r>
              <w:rPr>
                <w:rFonts w:ascii="Arial" w:hAnsi="Arial"/>
                <w:kern w:val="0"/>
                <w:sz w:val="22"/>
                <w:szCs w:val="22"/>
                <w:lang w:val="de-DE" w:bidi="ar-SA"/>
              </w:rPr>
              <w:t>o</w:t>
            </w:r>
            <w:r>
              <w:rPr>
                <w:rFonts w:ascii="Arial" w:hAnsi="Arial"/>
                <w:kern w:val="0"/>
                <w:sz w:val="22"/>
                <w:szCs w:val="22"/>
                <w:lang w:val="de-DE" w:bidi="ar-SA"/>
              </w:rPr>
              <w:t>nenten,</w:t>
            </w:r>
          </w:p>
          <w:p w:rsidR="005B63F5" w:rsidRPr="00CC424F" w:rsidRDefault="00CC424F">
            <w:pPr>
              <w:widowControl/>
              <w:autoSpaceDE w:val="0"/>
              <w:ind w:left="322"/>
              <w:textAlignment w:val="auto"/>
              <w:rPr>
                <w:lang w:val="de-DE"/>
              </w:rPr>
            </w:pPr>
            <w:r>
              <w:rPr>
                <w:rFonts w:ascii="Arial" w:hAnsi="Arial"/>
                <w:b/>
                <w:bCs/>
                <w:kern w:val="0"/>
                <w:sz w:val="22"/>
                <w:szCs w:val="22"/>
                <w:lang w:val="de-DE" w:bidi="ar-SA"/>
              </w:rPr>
              <w:t>–</w:t>
            </w:r>
            <w:r>
              <w:rPr>
                <w:rFonts w:ascii="Arial" w:hAnsi="Arial"/>
                <w:b/>
                <w:bCs/>
                <w:kern w:val="0"/>
                <w:sz w:val="22"/>
                <w:szCs w:val="22"/>
                <w:lang w:val="de-DE" w:bidi="ar-SA"/>
              </w:rPr>
              <w:t xml:space="preserve"> </w:t>
            </w:r>
            <w:r>
              <w:rPr>
                <w:rFonts w:ascii="Arial" w:hAnsi="Arial"/>
                <w:kern w:val="0"/>
                <w:sz w:val="22"/>
                <w:szCs w:val="22"/>
                <w:lang w:val="de-DE" w:bidi="ar-SA"/>
              </w:rPr>
              <w:t>natürliche Exponentialfunktion,</w:t>
            </w:r>
          </w:p>
          <w:p w:rsidR="005B63F5" w:rsidRPr="00CC424F" w:rsidRDefault="00CC424F">
            <w:pPr>
              <w:widowControl/>
              <w:autoSpaceDE w:val="0"/>
              <w:ind w:left="322"/>
              <w:textAlignment w:val="auto"/>
              <w:rPr>
                <w:lang w:val="de-DE"/>
              </w:rPr>
            </w:pPr>
            <w:r>
              <w:rPr>
                <w:rFonts w:ascii="Arial" w:hAnsi="Arial"/>
                <w:b/>
                <w:bCs/>
                <w:kern w:val="0"/>
                <w:sz w:val="22"/>
                <w:szCs w:val="22"/>
                <w:lang w:val="de-DE" w:bidi="ar-SA"/>
              </w:rPr>
              <w:t xml:space="preserve">– </w:t>
            </w:r>
            <w:r>
              <w:rPr>
                <w:rFonts w:ascii="Arial" w:hAnsi="Arial"/>
                <w:kern w:val="0"/>
                <w:sz w:val="22"/>
                <w:szCs w:val="22"/>
                <w:lang w:val="de-DE" w:bidi="ar-SA"/>
              </w:rPr>
              <w:t>Exponentialfunktionen mit beliebiger B</w:t>
            </w:r>
            <w:r>
              <w:rPr>
                <w:rFonts w:ascii="Arial" w:hAnsi="Arial"/>
                <w:kern w:val="0"/>
                <w:sz w:val="22"/>
                <w:szCs w:val="22"/>
                <w:lang w:val="de-DE" w:bidi="ar-SA"/>
              </w:rPr>
              <w:t>a</w:t>
            </w:r>
            <w:r>
              <w:rPr>
                <w:rFonts w:ascii="Arial" w:hAnsi="Arial"/>
                <w:kern w:val="0"/>
                <w:sz w:val="22"/>
                <w:szCs w:val="22"/>
                <w:lang w:val="de-DE" w:bidi="ar-SA"/>
              </w:rPr>
              <w:t>sis,</w:t>
            </w:r>
          </w:p>
          <w:p w:rsidR="005B63F5" w:rsidRPr="00CC424F" w:rsidRDefault="00CC424F">
            <w:pPr>
              <w:widowControl/>
              <w:autoSpaceDE w:val="0"/>
              <w:ind w:left="322"/>
              <w:textAlignment w:val="auto"/>
              <w:rPr>
                <w:lang w:val="de-DE"/>
              </w:rPr>
            </w:pPr>
            <w:r>
              <w:rPr>
                <w:rFonts w:ascii="Arial" w:hAnsi="Arial"/>
                <w:b/>
                <w:bCs/>
                <w:kern w:val="0"/>
                <w:sz w:val="22"/>
                <w:szCs w:val="22"/>
                <w:lang w:val="de-DE" w:bidi="ar-SA"/>
              </w:rPr>
              <w:t xml:space="preserve">– </w:t>
            </w:r>
            <w:r>
              <w:rPr>
                <w:rFonts w:ascii="Arial" w:hAnsi="Arial"/>
                <w:kern w:val="0"/>
                <w:sz w:val="22"/>
                <w:szCs w:val="22"/>
                <w:lang w:val="de-DE" w:bidi="ar-SA"/>
              </w:rPr>
              <w:t>natürliche Logarithmusfunktion,</w:t>
            </w:r>
          </w:p>
          <w:p w:rsidR="005B63F5" w:rsidRPr="00CC424F" w:rsidRDefault="00CC424F">
            <w:pPr>
              <w:pStyle w:val="Listenabsatz"/>
              <w:widowControl/>
              <w:numPr>
                <w:ilvl w:val="0"/>
                <w:numId w:val="4"/>
              </w:numPr>
              <w:autoSpaceDE w:val="0"/>
              <w:ind w:left="322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deuten die Ableitung mithilfe der Approximation durch lineare Funktionen,</w:t>
            </w:r>
          </w:p>
          <w:p w:rsidR="005B63F5" w:rsidRPr="00CC424F" w:rsidRDefault="00CC424F">
            <w:pPr>
              <w:pStyle w:val="Listenabsatz"/>
              <w:widowControl/>
              <w:numPr>
                <w:ilvl w:val="0"/>
                <w:numId w:val="4"/>
              </w:numPr>
              <w:autoSpaceDE w:val="0"/>
              <w:ind w:left="322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wenden die Produkt- und Kettenregel zum Ableiten von Funktionen an,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2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Werkzeuge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nutzen</w:t>
            </w:r>
            <w:proofErr w:type="spellEnd"/>
          </w:p>
          <w:p w:rsidR="005B63F5" w:rsidRDefault="00CC424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Problemlösen</w:t>
            </w:r>
            <w:proofErr w:type="spellEnd"/>
          </w:p>
          <w:p w:rsidR="005B63F5" w:rsidRDefault="00CC424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Argumentieren</w:t>
            </w:r>
            <w:proofErr w:type="spellEnd"/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</w:tr>
      <w:tr w:rsidR="005B63F5" w:rsidRPr="00CC424F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Grundverständnis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Int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gralbegriffes</w:t>
            </w:r>
            <w:proofErr w:type="spellEnd"/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Listenabsatz"/>
              <w:widowControl/>
              <w:numPr>
                <w:ilvl w:val="0"/>
                <w:numId w:val="5"/>
              </w:numPr>
              <w:autoSpaceDE w:val="0"/>
              <w:ind w:left="322" w:hanging="322"/>
              <w:textAlignment w:val="auto"/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interpretieren Produktsummen im Kontext als Rekonstruktion des Gesamtbestandes oder Gesamteffektes einer Größe,</w:t>
            </w:r>
          </w:p>
          <w:p w:rsidR="005B63F5" w:rsidRPr="00CC424F" w:rsidRDefault="00CC424F">
            <w:pPr>
              <w:pStyle w:val="Listenabsatz"/>
              <w:widowControl/>
              <w:numPr>
                <w:ilvl w:val="0"/>
                <w:numId w:val="5"/>
              </w:numPr>
              <w:autoSpaceDE w:val="0"/>
              <w:ind w:left="322" w:hanging="322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deuten die Inhalte von orientierten Flächen im Kontext,</w:t>
            </w:r>
          </w:p>
          <w:p w:rsidR="005B63F5" w:rsidRPr="00CC424F" w:rsidRDefault="00CC424F">
            <w:pPr>
              <w:pStyle w:val="Listenabsatz"/>
              <w:widowControl/>
              <w:numPr>
                <w:ilvl w:val="0"/>
                <w:numId w:val="5"/>
              </w:numPr>
              <w:autoSpaceDE w:val="0"/>
              <w:ind w:left="322" w:hanging="322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skizzieren zu einer gegebenen Randfunktion die zugehörige 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lastRenderedPageBreak/>
              <w:t>Flächeninhaltsfunktion,</w:t>
            </w:r>
          </w:p>
          <w:p w:rsidR="005B63F5" w:rsidRDefault="00CC424F">
            <w:pPr>
              <w:pStyle w:val="Listenabsatz"/>
              <w:widowControl/>
              <w:numPr>
                <w:ilvl w:val="0"/>
                <w:numId w:val="5"/>
              </w:numPr>
              <w:autoSpaceDE w:val="0"/>
              <w:ind w:left="322" w:hanging="322"/>
              <w:textAlignment w:val="auto"/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erläutern und vollziehen an geeigneten Beispielen den Übergang von der Produktsumme zum Integral auf der Grundlage eines propädeutischen Grenzwertbegriffs,</w:t>
            </w:r>
          </w:p>
          <w:p w:rsidR="005B63F5" w:rsidRDefault="00CC424F">
            <w:pPr>
              <w:pStyle w:val="Listenabsatz"/>
              <w:widowControl/>
              <w:numPr>
                <w:ilvl w:val="0"/>
                <w:numId w:val="5"/>
              </w:numPr>
              <w:autoSpaceDE w:val="0"/>
              <w:ind w:left="322" w:hanging="322"/>
              <w:textAlignment w:val="auto"/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erläutern den Zusa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mmenhang zwischen Änderungsrate und Integralfunktion,</w:t>
            </w:r>
          </w:p>
          <w:p w:rsidR="005B63F5" w:rsidRDefault="00CC424F">
            <w:pPr>
              <w:pStyle w:val="Listenabsatz"/>
              <w:widowControl/>
              <w:numPr>
                <w:ilvl w:val="0"/>
                <w:numId w:val="5"/>
              </w:numPr>
              <w:autoSpaceDE w:val="0"/>
              <w:ind w:left="322" w:hanging="322"/>
              <w:textAlignment w:val="auto"/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bestimmen Stammfunktionen ganzrationaler Funktionen,</w:t>
            </w:r>
          </w:p>
          <w:p w:rsidR="005B63F5" w:rsidRPr="00CC424F" w:rsidRDefault="00CC424F">
            <w:pPr>
              <w:pStyle w:val="Listenabsatz"/>
              <w:widowControl/>
              <w:numPr>
                <w:ilvl w:val="0"/>
                <w:numId w:val="5"/>
              </w:numPr>
              <w:autoSpaceDE w:val="0"/>
              <w:ind w:left="322" w:hanging="322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nutzen die natürliche Logarithmusfunktion als Stammfunktion der Funktion </w:t>
            </w:r>
            <w:r>
              <w:rPr>
                <w:rFonts w:ascii="Cambria Math" w:eastAsia="CambriaMath" w:hAnsi="Cambria Math" w:cs="Cambria Math"/>
                <w:kern w:val="0"/>
                <w:sz w:val="22"/>
                <w:szCs w:val="22"/>
                <w:lang w:val="de-DE" w:bidi="ar-SA"/>
              </w:rPr>
              <w:t>𝑥</w:t>
            </w:r>
            <w:r>
              <w:rPr>
                <w:rFonts w:ascii="Arial" w:eastAsia="CambriaMath" w:hAnsi="Arial" w:cs="Arial"/>
                <w:kern w:val="0"/>
                <w:sz w:val="22"/>
                <w:szCs w:val="22"/>
                <w:lang w:val="de-DE" w:bidi="ar-SA"/>
              </w:rPr>
              <w:t xml:space="preserve"> →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de-DE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,</w:t>
            </w:r>
          </w:p>
          <w:p w:rsidR="005B63F5" w:rsidRPr="00CC424F" w:rsidRDefault="00CC424F">
            <w:pPr>
              <w:pStyle w:val="Listenabsatz"/>
              <w:widowControl/>
              <w:numPr>
                <w:ilvl w:val="0"/>
                <w:numId w:val="5"/>
              </w:numPr>
              <w:autoSpaceDE w:val="0"/>
              <w:ind w:left="322" w:hanging="322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begründen den Hauptsatz der Differential- und Integralrechnung unter 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Verwendung eines anschaulichen Stetigkeitsbegriffs,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2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eastAsia="Arial" w:hAnsi="Arial"/>
                <w:sz w:val="22"/>
                <w:szCs w:val="22"/>
                <w:lang w:val="de-DE"/>
              </w:rPr>
            </w:pP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</w:tr>
      <w:tr w:rsidR="005B63F5" w:rsidRPr="00CC424F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Integralrechnung</w:t>
            </w:r>
            <w:proofErr w:type="spellEnd"/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Pr="00CC424F" w:rsidRDefault="00CC424F">
            <w:pPr>
              <w:pStyle w:val="TableContents"/>
              <w:numPr>
                <w:ilvl w:val="0"/>
                <w:numId w:val="6"/>
              </w:numPr>
              <w:ind w:left="322" w:hanging="283"/>
              <w:rPr>
                <w:lang w:val="de-DE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de-DE" w:bidi="ar-SA"/>
              </w:rPr>
              <w:t xml:space="preserve">nutzen die </w:t>
            </w: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de-DE" w:bidi="ar-SA"/>
              </w:rPr>
              <w:t>Intervalladditivität</w:t>
            </w:r>
            <w:proofErr w:type="spellEnd"/>
            <w:r>
              <w:rPr>
                <w:rFonts w:ascii="Arial" w:hAnsi="Arial"/>
                <w:kern w:val="0"/>
                <w:sz w:val="22"/>
                <w:szCs w:val="22"/>
                <w:lang w:val="de-DE" w:bidi="ar-SA"/>
              </w:rPr>
              <w:t xml:space="preserve"> und Linearität von Integralen,</w:t>
            </w:r>
          </w:p>
          <w:p w:rsidR="005B63F5" w:rsidRDefault="00CC424F">
            <w:pPr>
              <w:pStyle w:val="Listenabsatz"/>
              <w:widowControl/>
              <w:numPr>
                <w:ilvl w:val="0"/>
                <w:numId w:val="6"/>
              </w:numPr>
              <w:autoSpaceDE w:val="0"/>
              <w:ind w:left="322" w:hanging="283"/>
              <w:textAlignment w:val="auto"/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bestimmen Integrale numerisch und mithilfe von gegebenen oder Nachschlagewerken entnommenen Stammfunktionen,</w:t>
            </w:r>
          </w:p>
          <w:p w:rsidR="005B63F5" w:rsidRDefault="00CC424F">
            <w:pPr>
              <w:pStyle w:val="Listenabsatz"/>
              <w:widowControl/>
              <w:numPr>
                <w:ilvl w:val="0"/>
                <w:numId w:val="6"/>
              </w:numPr>
              <w:autoSpaceDE w:val="0"/>
              <w:ind w:left="322" w:hanging="283"/>
              <w:textAlignment w:val="auto"/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ermitteln 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den Gesamtbestand oder Gesamteffekt einer Größe aus der Änderungsrate oder der Randfunktion,</w:t>
            </w:r>
          </w:p>
          <w:p w:rsidR="005B63F5" w:rsidRPr="00CC424F" w:rsidRDefault="00CC424F">
            <w:pPr>
              <w:pStyle w:val="Listenabsatz"/>
              <w:widowControl/>
              <w:numPr>
                <w:ilvl w:val="0"/>
                <w:numId w:val="6"/>
              </w:numPr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bestimmen Flächeninhalte und Volumina von Körpern, die durch die Rotation um die Abszisse entstehen, mithilfe von bestimmten und uneigentlichen Integralen.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2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</w:tr>
    </w:tbl>
    <w:p w:rsidR="005B63F5" w:rsidRDefault="005B63F5">
      <w:pPr>
        <w:pStyle w:val="Textbody"/>
        <w:rPr>
          <w:rFonts w:ascii="Arial" w:hAnsi="Arial"/>
          <w:sz w:val="22"/>
          <w:szCs w:val="22"/>
          <w:lang w:val="de-DE"/>
        </w:rPr>
      </w:pPr>
    </w:p>
    <w:tbl>
      <w:tblPr>
        <w:tblW w:w="14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4630"/>
        <w:gridCol w:w="2551"/>
        <w:gridCol w:w="2819"/>
        <w:gridCol w:w="2487"/>
      </w:tblGrid>
      <w:tr w:rsidR="005B63F5" w:rsidRPr="00CC424F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Pr="00CC424F" w:rsidRDefault="00CC424F">
            <w:pPr>
              <w:pStyle w:val="TableContents"/>
              <w:shd w:val="clear" w:color="auto" w:fill="CCCCCC"/>
              <w:rPr>
                <w:lang w:val="de-D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>Analytische Ge</w:t>
            </w:r>
            <w:r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>o</w:t>
            </w:r>
            <w:r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>metrie und Lineare Algebra</w:t>
            </w: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</w:tr>
      <w:tr w:rsidR="005B63F5" w:rsidRPr="00CC424F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Lineare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Gle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chungssysteme</w:t>
            </w:r>
            <w:proofErr w:type="spellEnd"/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Listenabsatz"/>
              <w:widowControl/>
              <w:numPr>
                <w:ilvl w:val="0"/>
                <w:numId w:val="7"/>
              </w:numPr>
              <w:autoSpaceDE w:val="0"/>
              <w:ind w:left="322" w:hanging="283"/>
              <w:textAlignment w:val="auto"/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stellen lineare Gleichungssysteme in Matrix-Vektor-Schreibweise dar,</w:t>
            </w:r>
          </w:p>
          <w:p w:rsidR="005B63F5" w:rsidRDefault="00CC424F">
            <w:pPr>
              <w:pStyle w:val="Listenabsatz"/>
              <w:widowControl/>
              <w:numPr>
                <w:ilvl w:val="0"/>
                <w:numId w:val="7"/>
              </w:numPr>
              <w:autoSpaceDE w:val="0"/>
              <w:ind w:left="322" w:hanging="283"/>
              <w:textAlignment w:val="auto"/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lastRenderedPageBreak/>
              <w:t>beschreiben den Gauß-Algorithmus als Lösungsverfahren für lineare Gleichungssysteme,</w:t>
            </w:r>
          </w:p>
          <w:p w:rsidR="005B63F5" w:rsidRPr="00CC424F" w:rsidRDefault="00CC424F">
            <w:pPr>
              <w:pStyle w:val="Listenabsatz"/>
              <w:widowControl/>
              <w:numPr>
                <w:ilvl w:val="0"/>
                <w:numId w:val="7"/>
              </w:numPr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wenden den Gauß-Algorithmus 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ohne digitale Werkzeuge auf Gleichungssysteme mit maximal drei Unbekannten an, die mit geringem Rechenaufwand lösbar sind,</w:t>
            </w:r>
          </w:p>
          <w:p w:rsidR="005B63F5" w:rsidRPr="00CC424F" w:rsidRDefault="00CC424F">
            <w:pPr>
              <w:pStyle w:val="Listenabsatz"/>
              <w:widowControl/>
              <w:numPr>
                <w:ilvl w:val="0"/>
                <w:numId w:val="7"/>
              </w:numPr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interpretieren die Lösungsmenge von linearen Gleichungssystemen,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Werkzeuge nutzen</w:t>
            </w:r>
          </w:p>
          <w:p w:rsidR="005B63F5" w:rsidRPr="00CC424F" w:rsidRDefault="00CC424F">
            <w:pPr>
              <w:pStyle w:val="TableContents"/>
              <w:rPr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 xml:space="preserve">Modellieren, insbesondere: </w:t>
            </w:r>
            <w:r>
              <w:rPr>
                <w:rFonts w:ascii="Arial" w:hAnsi="Arial"/>
                <w:sz w:val="22"/>
                <w:szCs w:val="22"/>
                <w:lang w:val="de-DE"/>
              </w:rPr>
              <w:lastRenderedPageBreak/>
              <w:t>validieren</w:t>
            </w:r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</w:tr>
      <w:tr w:rsidR="005B63F5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Pr="00CC424F" w:rsidRDefault="00CC424F">
            <w:pPr>
              <w:pStyle w:val="TableContents"/>
              <w:rPr>
                <w:lang w:val="de-D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lastRenderedPageBreak/>
              <w:t>Darstellung und Untersuchung g</w:t>
            </w:r>
            <w:r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>e</w:t>
            </w:r>
            <w:r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>ometrischer O</w:t>
            </w:r>
            <w:r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>b</w:t>
            </w:r>
            <w:r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>jekte</w:t>
            </w: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Listenabsatz"/>
              <w:widowControl/>
              <w:numPr>
                <w:ilvl w:val="0"/>
                <w:numId w:val="8"/>
              </w:numPr>
              <w:autoSpaceDE w:val="0"/>
              <w:ind w:left="322" w:hanging="283"/>
              <w:textAlignment w:val="auto"/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stellen Geraden in Parameterform dar,</w:t>
            </w:r>
          </w:p>
          <w:p w:rsidR="005B63F5" w:rsidRDefault="00CC424F">
            <w:pPr>
              <w:pStyle w:val="Listenabsatz"/>
              <w:widowControl/>
              <w:numPr>
                <w:ilvl w:val="0"/>
                <w:numId w:val="8"/>
              </w:numPr>
              <w:autoSpaceDE w:val="0"/>
              <w:ind w:left="322" w:hanging="283"/>
              <w:textAlignment w:val="auto"/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interpretieren den Parameter von Geradengleichungen im Sachkontext,</w:t>
            </w:r>
          </w:p>
          <w:p w:rsidR="005B63F5" w:rsidRPr="00CC424F" w:rsidRDefault="00CC424F">
            <w:pPr>
              <w:pStyle w:val="Listenabsatz"/>
              <w:widowControl/>
              <w:numPr>
                <w:ilvl w:val="0"/>
                <w:numId w:val="8"/>
              </w:numPr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stellen Ebenen in Koordinaten- und in Parameterform dar,</w:t>
            </w:r>
          </w:p>
          <w:p w:rsidR="005B63F5" w:rsidRPr="00CC424F" w:rsidRDefault="00CC424F">
            <w:pPr>
              <w:pStyle w:val="Listenabsatz"/>
              <w:widowControl/>
              <w:numPr>
                <w:ilvl w:val="0"/>
                <w:numId w:val="8"/>
              </w:numPr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stellen geradlinig begrenzte Punktmengen i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n Parameterform dar,</w:t>
            </w:r>
          </w:p>
          <w:p w:rsidR="005B63F5" w:rsidRPr="00CC424F" w:rsidRDefault="00CC424F">
            <w:pPr>
              <w:pStyle w:val="Listenabsatz"/>
              <w:widowControl/>
              <w:numPr>
                <w:ilvl w:val="0"/>
                <w:numId w:val="8"/>
              </w:numPr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stellen Ebenen in </w:t>
            </w:r>
            <w:proofErr w:type="spellStart"/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Normalenform</w:t>
            </w:r>
            <w:proofErr w:type="spellEnd"/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 dar und nutzen diese zur Orientierung im Raum,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Problemlösen</w:t>
            </w:r>
            <w:proofErr w:type="spellEnd"/>
          </w:p>
          <w:p w:rsidR="005B63F5" w:rsidRDefault="00CC424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Modellieren</w:t>
            </w:r>
            <w:proofErr w:type="spellEnd"/>
          </w:p>
          <w:p w:rsidR="005B63F5" w:rsidRDefault="00CC424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Werkzeuge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nutzen</w:t>
            </w:r>
            <w:proofErr w:type="spellEnd"/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</w:tr>
      <w:tr w:rsidR="005B63F5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Lagebeziehungen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und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Abstände</w:t>
            </w:r>
            <w:proofErr w:type="spellEnd"/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Listenabsatz"/>
              <w:widowControl/>
              <w:numPr>
                <w:ilvl w:val="0"/>
                <w:numId w:val="9"/>
              </w:numPr>
              <w:autoSpaceDE w:val="0"/>
              <w:ind w:left="322" w:hanging="283"/>
              <w:textAlignment w:val="auto"/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untersuchen Lagebeziehungen zwischen Geraden und zwischen Geraden und Ebenen,</w:t>
            </w:r>
          </w:p>
          <w:p w:rsidR="005B63F5" w:rsidRPr="00CC424F" w:rsidRDefault="00CC424F">
            <w:pPr>
              <w:pStyle w:val="Listenabsatz"/>
              <w:widowControl/>
              <w:numPr>
                <w:ilvl w:val="0"/>
                <w:numId w:val="9"/>
              </w:numPr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berechnen Schnittpunkte von Geraden sowie Durchstoßpunkte von Geraden mit Ebenen und deuten sie im Sachkontext,</w:t>
            </w:r>
          </w:p>
          <w:p w:rsidR="005B63F5" w:rsidRPr="00CC424F" w:rsidRDefault="00CC424F">
            <w:pPr>
              <w:pStyle w:val="Listenabsatz"/>
              <w:widowControl/>
              <w:numPr>
                <w:ilvl w:val="0"/>
                <w:numId w:val="9"/>
              </w:numPr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bestimmen Abstände zwischen Punkten, Geraden und Ebenen.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Werkzeuge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nutzen</w:t>
            </w:r>
            <w:proofErr w:type="spellEnd"/>
          </w:p>
          <w:p w:rsidR="005B63F5" w:rsidRDefault="00CC424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Modellieren</w:t>
            </w:r>
            <w:proofErr w:type="spellEnd"/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5B63F5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Skalarprodukt</w:t>
            </w:r>
            <w:proofErr w:type="spellEnd"/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Listenabsatz"/>
              <w:widowControl/>
              <w:numPr>
                <w:ilvl w:val="0"/>
                <w:numId w:val="10"/>
              </w:numPr>
              <w:autoSpaceDE w:val="0"/>
              <w:ind w:left="322" w:hanging="283"/>
              <w:textAlignment w:val="auto"/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deuten das </w:t>
            </w:r>
            <w:proofErr w:type="spellStart"/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Skalarprodukt</w:t>
            </w:r>
            <w:proofErr w:type="spellEnd"/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 geometrisch und 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berechnen es,</w:t>
            </w:r>
          </w:p>
          <w:p w:rsidR="005B63F5" w:rsidRPr="00CC424F" w:rsidRDefault="00CC424F">
            <w:pPr>
              <w:pStyle w:val="Listenabsatz"/>
              <w:widowControl/>
              <w:numPr>
                <w:ilvl w:val="0"/>
                <w:numId w:val="10"/>
              </w:numPr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untersuchen mithilfe des </w:t>
            </w:r>
            <w:proofErr w:type="spellStart"/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Skalarprodukts</w:t>
            </w:r>
            <w:proofErr w:type="spellEnd"/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 geometrische Objekte und Situationen im Raum (</w:t>
            </w:r>
            <w:proofErr w:type="spellStart"/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Orthogonalität</w:t>
            </w:r>
            <w:proofErr w:type="spellEnd"/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, Winkel- und Längenberechnung),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Werkzeuge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nutzen</w:t>
            </w:r>
            <w:proofErr w:type="spellEnd"/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</w:tr>
    </w:tbl>
    <w:p w:rsidR="005B63F5" w:rsidRDefault="005B63F5">
      <w:pPr>
        <w:pStyle w:val="Textbody"/>
        <w:rPr>
          <w:rFonts w:ascii="Arial" w:hAnsi="Arial"/>
          <w:sz w:val="22"/>
          <w:szCs w:val="22"/>
          <w:lang w:val="de-DE"/>
        </w:rPr>
      </w:pPr>
    </w:p>
    <w:p w:rsidR="005B63F5" w:rsidRDefault="005B63F5">
      <w:pPr>
        <w:pStyle w:val="Textbody"/>
        <w:pageBreakBefore/>
        <w:rPr>
          <w:rFonts w:ascii="Arial" w:hAnsi="Arial"/>
          <w:sz w:val="22"/>
          <w:szCs w:val="22"/>
          <w:lang w:val="de-DE"/>
        </w:rPr>
      </w:pPr>
    </w:p>
    <w:tbl>
      <w:tblPr>
        <w:tblW w:w="14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4630"/>
        <w:gridCol w:w="2551"/>
        <w:gridCol w:w="2819"/>
        <w:gridCol w:w="2487"/>
      </w:tblGrid>
      <w:tr w:rsidR="005B63F5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  <w:shd w:val="clear" w:color="auto" w:fill="CCCCCC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Stochastik</w:t>
            </w:r>
            <w:proofErr w:type="spellEnd"/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5B63F5" w:rsidRPr="00CC424F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rPr>
                <w:rFonts w:ascii="Arial" w:eastAsia="Helvetica" w:hAnsi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Helvetica" w:hAnsi="Arial"/>
                <w:b/>
                <w:bCs/>
                <w:color w:val="000000"/>
                <w:sz w:val="22"/>
                <w:szCs w:val="22"/>
              </w:rPr>
              <w:t>Kenngrößen</w:t>
            </w:r>
            <w:proofErr w:type="spellEnd"/>
            <w:r>
              <w:rPr>
                <w:rFonts w:ascii="Arial" w:eastAsia="Helvetica" w:hAnsi="Arial"/>
                <w:b/>
                <w:bCs/>
                <w:color w:val="000000"/>
                <w:sz w:val="22"/>
                <w:szCs w:val="22"/>
              </w:rPr>
              <w:t xml:space="preserve"> von </w:t>
            </w:r>
            <w:proofErr w:type="spellStart"/>
            <w:r>
              <w:rPr>
                <w:rFonts w:ascii="Arial" w:eastAsia="Helvetica" w:hAnsi="Arial"/>
                <w:b/>
                <w:bCs/>
                <w:color w:val="000000"/>
                <w:sz w:val="22"/>
                <w:szCs w:val="22"/>
              </w:rPr>
              <w:t>Wahrscheinlich</w:t>
            </w:r>
            <w:proofErr w:type="spellEnd"/>
            <w:r>
              <w:rPr>
                <w:rFonts w:ascii="Arial" w:eastAsia="Helvetica" w:hAnsi="Arial"/>
                <w:b/>
                <w:bCs/>
                <w:color w:val="000000"/>
                <w:sz w:val="22"/>
                <w:szCs w:val="22"/>
              </w:rPr>
              <w:t>-</w:t>
            </w:r>
          </w:p>
          <w:p w:rsidR="005B63F5" w:rsidRDefault="00CC424F">
            <w:pPr>
              <w:rPr>
                <w:rFonts w:ascii="Arial" w:eastAsia="Helvetica" w:hAnsi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Helvetica" w:hAnsi="Arial"/>
                <w:b/>
                <w:bCs/>
                <w:color w:val="000000"/>
                <w:sz w:val="22"/>
                <w:szCs w:val="22"/>
              </w:rPr>
              <w:t>keitsverteilungen</w:t>
            </w:r>
            <w:proofErr w:type="spellEnd"/>
          </w:p>
          <w:p w:rsidR="005B63F5" w:rsidRDefault="00CC424F">
            <w:pPr>
              <w:autoSpaceDE w:val="0"/>
              <w:rPr>
                <w:rFonts w:ascii="Arial" w:eastAsia="Symbol" w:hAnsi="Arial"/>
                <w:color w:val="FF0000"/>
                <w:sz w:val="22"/>
                <w:szCs w:val="22"/>
              </w:rPr>
            </w:pPr>
            <w:r>
              <w:rPr>
                <w:rFonts w:ascii="Arial" w:eastAsia="Symbo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Pr="00CC424F" w:rsidRDefault="00CC424F">
            <w:pPr>
              <w:pStyle w:val="TableContents"/>
              <w:numPr>
                <w:ilvl w:val="0"/>
                <w:numId w:val="11"/>
              </w:numPr>
              <w:ind w:left="322" w:hanging="322"/>
              <w:rPr>
                <w:lang w:val="de-DE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de-DE" w:bidi="ar-SA"/>
              </w:rPr>
              <w:t xml:space="preserve">untersuchen Lage- </w:t>
            </w:r>
            <w:r>
              <w:rPr>
                <w:rFonts w:ascii="Arial" w:hAnsi="Arial"/>
                <w:kern w:val="0"/>
                <w:sz w:val="22"/>
                <w:szCs w:val="22"/>
                <w:lang w:val="de-DE" w:bidi="ar-SA"/>
              </w:rPr>
              <w:t>und Streumaße von Stichproben,</w:t>
            </w:r>
          </w:p>
          <w:p w:rsidR="005B63F5" w:rsidRDefault="00CC424F">
            <w:pPr>
              <w:pStyle w:val="Listenabsatz"/>
              <w:widowControl/>
              <w:numPr>
                <w:ilvl w:val="0"/>
                <w:numId w:val="11"/>
              </w:numPr>
              <w:autoSpaceDE w:val="0"/>
              <w:ind w:left="322" w:hanging="322"/>
              <w:textAlignment w:val="auto"/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erläutern den Begriff der Zufallsgröße an geeigneten Beispielen,</w:t>
            </w:r>
          </w:p>
          <w:p w:rsidR="005B63F5" w:rsidRPr="00CC424F" w:rsidRDefault="00CC424F">
            <w:pPr>
              <w:pStyle w:val="Listenabsatz"/>
              <w:widowControl/>
              <w:numPr>
                <w:ilvl w:val="0"/>
                <w:numId w:val="11"/>
              </w:numPr>
              <w:autoSpaceDE w:val="0"/>
              <w:ind w:left="322" w:hanging="322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bestimmen den Erwartungswert </w:t>
            </w:r>
            <w:r>
              <w:rPr>
                <w:rFonts w:ascii="Cambria Math" w:eastAsia="CambriaMath" w:hAnsi="Cambria Math" w:cs="Cambria Math"/>
                <w:kern w:val="0"/>
                <w:sz w:val="22"/>
                <w:szCs w:val="22"/>
                <w:lang w:val="de-DE" w:bidi="ar-SA"/>
              </w:rPr>
              <w:t>𝜇</w:t>
            </w:r>
            <w:r>
              <w:rPr>
                <w:rFonts w:ascii="Arial" w:eastAsia="CambriaMath" w:hAnsi="Arial" w:cs="Arial"/>
                <w:kern w:val="0"/>
                <w:sz w:val="22"/>
                <w:szCs w:val="22"/>
                <w:lang w:val="de-DE" w:bidi="ar-SA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und die Standardabweichung </w:t>
            </w:r>
            <w:r>
              <w:rPr>
                <w:rFonts w:ascii="Cambria Math" w:eastAsia="CambriaMath" w:hAnsi="Cambria Math" w:cs="Cambria Math"/>
                <w:kern w:val="0"/>
                <w:sz w:val="22"/>
                <w:szCs w:val="22"/>
                <w:lang w:val="de-DE" w:bidi="ar-SA"/>
              </w:rPr>
              <w:t>𝜎</w:t>
            </w:r>
            <w:r>
              <w:rPr>
                <w:rFonts w:ascii="Arial" w:eastAsia="CambriaMath" w:hAnsi="Arial" w:cs="Arial"/>
                <w:kern w:val="0"/>
                <w:sz w:val="22"/>
                <w:szCs w:val="22"/>
                <w:lang w:val="de-DE" w:bidi="ar-SA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von Zufallsgrößen und treffen damit prognostische Aussagen,</w:t>
            </w:r>
          </w:p>
          <w:p w:rsidR="005B63F5" w:rsidRPr="00CC424F" w:rsidRDefault="00CC424F">
            <w:pPr>
              <w:pStyle w:val="Listenabsatz"/>
              <w:widowControl/>
              <w:numPr>
                <w:ilvl w:val="0"/>
                <w:numId w:val="11"/>
              </w:numPr>
              <w:autoSpaceDE w:val="0"/>
              <w:ind w:left="322" w:hanging="322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unterscheiden diskrete und stetige Zuf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allsgrößen und deuten die Verteilungsfunktion als Integralfunktion,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Argumentieren</w:t>
            </w:r>
          </w:p>
          <w:p w:rsidR="005B63F5" w:rsidRDefault="00CC424F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Kommunizieren</w:t>
            </w:r>
          </w:p>
          <w:p w:rsidR="005B63F5" w:rsidRDefault="00CC424F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Werkzeuge nutzen</w:t>
            </w:r>
          </w:p>
          <w:p w:rsidR="005B63F5" w:rsidRDefault="00CC424F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Modellieren</w:t>
            </w:r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</w:tr>
      <w:tr w:rsidR="005B63F5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Binomialverte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lung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und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Norma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verteilung</w:t>
            </w:r>
            <w:proofErr w:type="spellEnd"/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Listenabsatz"/>
              <w:widowControl/>
              <w:numPr>
                <w:ilvl w:val="0"/>
                <w:numId w:val="12"/>
              </w:numPr>
              <w:autoSpaceDE w:val="0"/>
              <w:ind w:left="322" w:hanging="283"/>
              <w:textAlignment w:val="auto"/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verwenden </w:t>
            </w:r>
            <w:proofErr w:type="spellStart"/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Bernoulliketten</w:t>
            </w:r>
            <w:proofErr w:type="spellEnd"/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 zur Beschreibung entsprechender Zufallsexperimente,</w:t>
            </w:r>
          </w:p>
          <w:p w:rsidR="005B63F5" w:rsidRPr="00CC424F" w:rsidRDefault="00CC424F">
            <w:pPr>
              <w:pStyle w:val="Listenabsatz"/>
              <w:widowControl/>
              <w:numPr>
                <w:ilvl w:val="0"/>
                <w:numId w:val="12"/>
              </w:numPr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erklären 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die Binomialverteilung einschließlich der kombinatorischen Bedeutung der Binomialkoeffizienten und berechnen damit Wahrscheinlichkeiten,</w:t>
            </w:r>
          </w:p>
          <w:p w:rsidR="005B63F5" w:rsidRPr="00CC424F" w:rsidRDefault="00CC424F">
            <w:pPr>
              <w:pStyle w:val="Listenabsatz"/>
              <w:widowControl/>
              <w:numPr>
                <w:ilvl w:val="0"/>
                <w:numId w:val="12"/>
              </w:numPr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beschreiben den Einfluss der Parameter </w:t>
            </w:r>
            <w:r>
              <w:rPr>
                <w:rFonts w:ascii="Cambria Math" w:eastAsia="CambriaMath" w:hAnsi="Cambria Math" w:cs="Cambria Math"/>
                <w:kern w:val="0"/>
                <w:sz w:val="22"/>
                <w:szCs w:val="22"/>
                <w:lang w:val="de-DE" w:bidi="ar-SA"/>
              </w:rPr>
              <w:t>𝑛</w:t>
            </w:r>
            <w:r>
              <w:rPr>
                <w:rFonts w:ascii="Arial" w:eastAsia="CambriaMath" w:hAnsi="Arial" w:cs="Arial"/>
                <w:kern w:val="0"/>
                <w:sz w:val="22"/>
                <w:szCs w:val="22"/>
                <w:lang w:val="de-DE" w:bidi="ar-SA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und </w:t>
            </w:r>
            <w:r>
              <w:rPr>
                <w:rFonts w:ascii="Cambria Math" w:eastAsia="CambriaMath" w:hAnsi="Cambria Math" w:cs="Cambria Math"/>
                <w:kern w:val="0"/>
                <w:sz w:val="22"/>
                <w:szCs w:val="22"/>
                <w:lang w:val="de-DE" w:bidi="ar-SA"/>
              </w:rPr>
              <w:t>𝑝</w:t>
            </w:r>
            <w:r>
              <w:rPr>
                <w:rFonts w:ascii="Arial" w:eastAsia="CambriaMath" w:hAnsi="Arial" w:cs="Arial"/>
                <w:kern w:val="0"/>
                <w:sz w:val="22"/>
                <w:szCs w:val="22"/>
                <w:lang w:val="de-DE" w:bidi="ar-SA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auf Binomialverteilungen und ihre graphische Darstellung,</w:t>
            </w:r>
          </w:p>
          <w:p w:rsidR="005B63F5" w:rsidRPr="00CC424F" w:rsidRDefault="00CC424F">
            <w:pPr>
              <w:pStyle w:val="Listenabsatz"/>
              <w:widowControl/>
              <w:numPr>
                <w:ilvl w:val="0"/>
                <w:numId w:val="12"/>
              </w:numPr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nutzen Binom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ialverteilungen und ihre Kenngrößen zur Lösung von Problemstellungen,</w:t>
            </w:r>
          </w:p>
          <w:p w:rsidR="005B63F5" w:rsidRDefault="00CC424F">
            <w:pPr>
              <w:pStyle w:val="Listenabsatz"/>
              <w:widowControl/>
              <w:numPr>
                <w:ilvl w:val="0"/>
                <w:numId w:val="12"/>
              </w:numPr>
              <w:autoSpaceDE w:val="0"/>
              <w:ind w:left="322" w:hanging="283"/>
              <w:textAlignment w:val="auto"/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untersuchen stochastische Situationen, die zu annähernd normalverteilten Zufallsgrößen führen,</w:t>
            </w:r>
          </w:p>
          <w:p w:rsidR="005B63F5" w:rsidRPr="00CC424F" w:rsidRDefault="00CC424F">
            <w:pPr>
              <w:pStyle w:val="Listenabsatz"/>
              <w:widowControl/>
              <w:numPr>
                <w:ilvl w:val="0"/>
                <w:numId w:val="12"/>
              </w:numPr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beschreiben den Einfluss der Parameter </w:t>
            </w:r>
            <w:r>
              <w:rPr>
                <w:rFonts w:ascii="Cambria Math" w:eastAsia="CambriaMath" w:hAnsi="Cambria Math" w:cs="Cambria Math"/>
                <w:kern w:val="0"/>
                <w:sz w:val="22"/>
                <w:szCs w:val="22"/>
                <w:lang w:val="de-DE" w:bidi="ar-SA"/>
              </w:rPr>
              <w:t>𝜇</w:t>
            </w:r>
            <w:r>
              <w:rPr>
                <w:rFonts w:ascii="Arial" w:eastAsia="CambriaMath" w:hAnsi="Arial" w:cs="Arial"/>
                <w:kern w:val="0"/>
                <w:sz w:val="22"/>
                <w:szCs w:val="22"/>
                <w:lang w:val="de-DE" w:bidi="ar-SA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und </w:t>
            </w:r>
            <w:r>
              <w:rPr>
                <w:rFonts w:ascii="Cambria Math" w:eastAsia="CambriaMath" w:hAnsi="Cambria Math" w:cs="Cambria Math"/>
                <w:kern w:val="0"/>
                <w:sz w:val="22"/>
                <w:szCs w:val="22"/>
                <w:lang w:val="de-DE" w:bidi="ar-SA"/>
              </w:rPr>
              <w:t>𝜎</w:t>
            </w:r>
            <w:r>
              <w:rPr>
                <w:rFonts w:ascii="Arial" w:eastAsia="CambriaMath" w:hAnsi="Arial" w:cs="Arial"/>
                <w:kern w:val="0"/>
                <w:sz w:val="22"/>
                <w:szCs w:val="22"/>
                <w:lang w:val="de-DE" w:bidi="ar-SA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auf die Normalverteilung und die graphisch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e Darstellung ihrer Dichtefunktion (</w:t>
            </w:r>
            <w:proofErr w:type="spellStart"/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Gauß’sche</w:t>
            </w:r>
            <w:proofErr w:type="spellEnd"/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 Glockenkurve),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Argumentieren</w:t>
            </w:r>
            <w:proofErr w:type="spellEnd"/>
          </w:p>
          <w:p w:rsidR="005B63F5" w:rsidRDefault="00CC424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Kommunizieren</w:t>
            </w:r>
            <w:proofErr w:type="spellEnd"/>
          </w:p>
          <w:p w:rsidR="005B63F5" w:rsidRDefault="00CC424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Problemlösen</w:t>
            </w:r>
            <w:proofErr w:type="spellEnd"/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</w:tr>
      <w:tr w:rsidR="005B63F5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Testen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von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H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y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pothesen</w:t>
            </w:r>
            <w:proofErr w:type="spellEnd"/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Pr="00CC424F" w:rsidRDefault="00CC424F">
            <w:pPr>
              <w:pStyle w:val="TableContents"/>
              <w:numPr>
                <w:ilvl w:val="0"/>
                <w:numId w:val="13"/>
              </w:numPr>
              <w:ind w:left="322" w:hanging="283"/>
              <w:rPr>
                <w:lang w:val="de-DE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de-DE" w:bidi="ar-SA"/>
              </w:rPr>
              <w:t xml:space="preserve">nutzen die </w:t>
            </w:r>
            <w:r>
              <w:rPr>
                <w:rFonts w:ascii="Cambria Math" w:eastAsia="CambriaMath" w:hAnsi="Cambria Math" w:cs="Cambria Math"/>
                <w:kern w:val="0"/>
                <w:sz w:val="22"/>
                <w:szCs w:val="22"/>
                <w:lang w:val="de-DE" w:bidi="ar-SA"/>
              </w:rPr>
              <w:t>𝜎</w:t>
            </w:r>
            <w:r>
              <w:rPr>
                <w:rFonts w:ascii="Arial" w:hAnsi="Arial"/>
                <w:kern w:val="0"/>
                <w:sz w:val="22"/>
                <w:szCs w:val="22"/>
                <w:lang w:val="de-DE" w:bidi="ar-SA"/>
              </w:rPr>
              <w:t>-Regeln für prognostische Aussagen,</w:t>
            </w:r>
          </w:p>
          <w:p w:rsidR="005B63F5" w:rsidRPr="00CC424F" w:rsidRDefault="00CC424F">
            <w:pPr>
              <w:pStyle w:val="TableContents"/>
              <w:numPr>
                <w:ilvl w:val="0"/>
                <w:numId w:val="13"/>
              </w:numPr>
              <w:ind w:left="322" w:hanging="283"/>
              <w:rPr>
                <w:lang w:val="de-DE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de-DE" w:bidi="ar-SA"/>
              </w:rPr>
              <w:lastRenderedPageBreak/>
              <w:t>interpretieren Hypothesentests bezogen auf den Sachkontext und das Erkenntnisi</w:t>
            </w:r>
            <w:r>
              <w:rPr>
                <w:rFonts w:ascii="Arial" w:hAnsi="Arial"/>
                <w:kern w:val="0"/>
                <w:sz w:val="22"/>
                <w:szCs w:val="22"/>
                <w:lang w:val="de-DE" w:bidi="ar-SA"/>
              </w:rPr>
              <w:t>n</w:t>
            </w:r>
            <w:r>
              <w:rPr>
                <w:rFonts w:ascii="Arial" w:hAnsi="Arial"/>
                <w:kern w:val="0"/>
                <w:sz w:val="22"/>
                <w:szCs w:val="22"/>
                <w:lang w:val="de-DE" w:bidi="ar-SA"/>
              </w:rPr>
              <w:t>teresse,</w:t>
            </w:r>
          </w:p>
          <w:p w:rsidR="005B63F5" w:rsidRDefault="00CC424F">
            <w:pPr>
              <w:pStyle w:val="TableContents"/>
              <w:numPr>
                <w:ilvl w:val="0"/>
                <w:numId w:val="13"/>
              </w:numPr>
              <w:ind w:left="322" w:hanging="283"/>
            </w:pPr>
            <w:r>
              <w:rPr>
                <w:rFonts w:ascii="Arial" w:hAnsi="Arial"/>
                <w:kern w:val="0"/>
                <w:sz w:val="22"/>
                <w:szCs w:val="22"/>
                <w:lang w:val="de-DE" w:bidi="ar-SA"/>
              </w:rPr>
              <w:t>beschreiben und beurteilen Fehler 1. und 2. Art,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Argumentieren</w:t>
            </w:r>
            <w:proofErr w:type="spellEnd"/>
          </w:p>
          <w:p w:rsidR="005B63F5" w:rsidRDefault="00CC424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Kommunizieren</w:t>
            </w:r>
            <w:proofErr w:type="spellEnd"/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5B63F5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Stochastische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Prozesse</w:t>
            </w:r>
            <w:proofErr w:type="spellEnd"/>
          </w:p>
        </w:tc>
        <w:tc>
          <w:tcPr>
            <w:tcW w:w="4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Listenabsatz"/>
              <w:widowControl/>
              <w:numPr>
                <w:ilvl w:val="0"/>
                <w:numId w:val="14"/>
              </w:numPr>
              <w:autoSpaceDE w:val="0"/>
              <w:ind w:left="322" w:hanging="283"/>
              <w:textAlignment w:val="auto"/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beschreiben stochastische Prozesse mithilfe von Zustandsvektoren und stochastischen Übergangsmatrizen,</w:t>
            </w:r>
          </w:p>
          <w:p w:rsidR="005B63F5" w:rsidRPr="00CC424F" w:rsidRDefault="00CC424F">
            <w:pPr>
              <w:pStyle w:val="Listenabsatz"/>
              <w:widowControl/>
              <w:numPr>
                <w:ilvl w:val="0"/>
                <w:numId w:val="14"/>
              </w:numPr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verwenden die Matrizenmultiplikation zur 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Untersuchung stochastischer Prozesse (Vorhersage nachfolgender Zustände, numerisches Bestimmen sich stabilisierender Zustände).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CC424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Problemlösen</w:t>
            </w:r>
            <w:proofErr w:type="spellEnd"/>
          </w:p>
          <w:p w:rsidR="005B63F5" w:rsidRDefault="00CC424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Werkzeuge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nutzen</w:t>
            </w:r>
            <w:proofErr w:type="spellEnd"/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3F5" w:rsidRDefault="005B63F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</w:tr>
    </w:tbl>
    <w:p w:rsidR="005B63F5" w:rsidRDefault="005B63F5">
      <w:pPr>
        <w:rPr>
          <w:rFonts w:ascii="Arial" w:hAnsi="Arial"/>
          <w:lang w:val="de-DE"/>
        </w:rPr>
      </w:pPr>
    </w:p>
    <w:p w:rsidR="005B63F5" w:rsidRDefault="005B63F5">
      <w:pPr>
        <w:rPr>
          <w:rFonts w:ascii="Arial" w:hAnsi="Arial"/>
          <w:lang w:val="de-DE"/>
        </w:rPr>
      </w:pPr>
    </w:p>
    <w:p w:rsidR="005B63F5" w:rsidRDefault="00CC424F">
      <w:pPr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 xml:space="preserve">Bei der Lösung der Aufgaben habe ich den Einsatz des GTR /ggf. des CAS in vielfältigen </w:t>
      </w:r>
      <w:r>
        <w:rPr>
          <w:rFonts w:ascii="Arial" w:hAnsi="Arial"/>
          <w:color w:val="000000"/>
          <w:lang w:val="de-DE"/>
        </w:rPr>
        <w:t>Problemsituationen geübt.</w:t>
      </w:r>
    </w:p>
    <w:p w:rsidR="005B63F5" w:rsidRDefault="005B63F5">
      <w:pPr>
        <w:rPr>
          <w:rFonts w:ascii="Arial" w:hAnsi="Arial"/>
          <w:lang w:val="de-DE"/>
        </w:rPr>
      </w:pPr>
    </w:p>
    <w:p w:rsidR="005B63F5" w:rsidRDefault="005B63F5">
      <w:pPr>
        <w:rPr>
          <w:rFonts w:ascii="Arial" w:hAnsi="Arial"/>
          <w:lang w:val="de-DE"/>
        </w:rPr>
      </w:pPr>
    </w:p>
    <w:p w:rsidR="005B63F5" w:rsidRDefault="005B63F5">
      <w:pPr>
        <w:rPr>
          <w:rFonts w:ascii="Arial" w:hAnsi="Arial"/>
          <w:lang w:val="de-DE"/>
        </w:rPr>
      </w:pPr>
    </w:p>
    <w:p w:rsidR="005B63F5" w:rsidRDefault="005B63F5">
      <w:pPr>
        <w:rPr>
          <w:rFonts w:ascii="Arial" w:hAnsi="Arial"/>
          <w:lang w:val="de-DE"/>
        </w:rPr>
      </w:pPr>
    </w:p>
    <w:p w:rsidR="005B63F5" w:rsidRDefault="00CC424F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__________________                   ________________________________________</w:t>
      </w:r>
    </w:p>
    <w:p w:rsidR="005B63F5" w:rsidRPr="00CC424F" w:rsidRDefault="00CC424F">
      <w:pPr>
        <w:rPr>
          <w:lang w:val="de-DE"/>
        </w:rPr>
      </w:pPr>
      <w:r>
        <w:rPr>
          <w:rFonts w:ascii="Arial" w:hAnsi="Arial"/>
          <w:lang w:val="de-DE"/>
        </w:rPr>
        <w:t>Ort, Datum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  <w:t>Unterschrift der Bewerberin / des Bewerbers</w:t>
      </w:r>
    </w:p>
    <w:sectPr w:rsidR="005B63F5" w:rsidRPr="00CC424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424F">
      <w:r>
        <w:separator/>
      </w:r>
    </w:p>
  </w:endnote>
  <w:endnote w:type="continuationSeparator" w:id="0">
    <w:p w:rsidR="00000000" w:rsidRDefault="00CC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Math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424F">
      <w:r>
        <w:rPr>
          <w:color w:val="000000"/>
        </w:rPr>
        <w:separator/>
      </w:r>
    </w:p>
  </w:footnote>
  <w:footnote w:type="continuationSeparator" w:id="0">
    <w:p w:rsidR="00000000" w:rsidRDefault="00CC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3EF"/>
    <w:multiLevelType w:val="multilevel"/>
    <w:tmpl w:val="8D461A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F9C5F68"/>
    <w:multiLevelType w:val="multilevel"/>
    <w:tmpl w:val="EA0C965E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">
    <w:nsid w:val="257B2960"/>
    <w:multiLevelType w:val="multilevel"/>
    <w:tmpl w:val="09F8E4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0003563"/>
    <w:multiLevelType w:val="multilevel"/>
    <w:tmpl w:val="8CA651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84E36B3"/>
    <w:multiLevelType w:val="multilevel"/>
    <w:tmpl w:val="524ED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21F57A0"/>
    <w:multiLevelType w:val="multilevel"/>
    <w:tmpl w:val="9C1EA6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4763814"/>
    <w:multiLevelType w:val="multilevel"/>
    <w:tmpl w:val="518010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5BA44B0"/>
    <w:multiLevelType w:val="multilevel"/>
    <w:tmpl w:val="C108CE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8191A17"/>
    <w:multiLevelType w:val="multilevel"/>
    <w:tmpl w:val="4C98BC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22400A5"/>
    <w:multiLevelType w:val="multilevel"/>
    <w:tmpl w:val="DB284B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3191520"/>
    <w:multiLevelType w:val="multilevel"/>
    <w:tmpl w:val="379604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ADF2D64"/>
    <w:multiLevelType w:val="multilevel"/>
    <w:tmpl w:val="0C00BA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92C6DDB"/>
    <w:multiLevelType w:val="multilevel"/>
    <w:tmpl w:val="67A6AE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CB46A5C"/>
    <w:multiLevelType w:val="multilevel"/>
    <w:tmpl w:val="522A66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63F5"/>
    <w:rsid w:val="005B63F5"/>
    <w:rsid w:val="00CC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suppressAutoHyphens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pPr>
      <w:suppressAutoHyphens/>
    </w:pPr>
  </w:style>
  <w:style w:type="paragraph" w:styleId="Beschriftung">
    <w:name w:val="caption"/>
    <w:basedOn w:val="Standard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Listenabsatz">
    <w:name w:val="List Paragraph"/>
    <w:basedOn w:val="Standard"/>
    <w:pPr>
      <w:suppressAutoHyphens/>
      <w:ind w:left="720"/>
    </w:pPr>
    <w:rPr>
      <w:rFonts w:cs="Mangal"/>
      <w:szCs w:val="21"/>
    </w:rPr>
  </w:style>
  <w:style w:type="paragraph" w:styleId="Sprechblasentext">
    <w:name w:val="Balloon Text"/>
    <w:basedOn w:val="Standard"/>
    <w:pPr>
      <w:suppressAutoHyphens/>
    </w:pPr>
    <w:rPr>
      <w:rFonts w:ascii="Tahoma" w:hAnsi="Tahoma" w:cs="Mangal"/>
      <w:sz w:val="16"/>
      <w:szCs w:val="1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prechblasentextZchn">
    <w:name w:val="Sprechblasentext Zchn"/>
    <w:basedOn w:val="Absatz-Standardschriftart"/>
    <w:rPr>
      <w:rFonts w:ascii="Tahoma" w:hAnsi="Tahoma" w:cs="Mangal"/>
      <w:sz w:val="16"/>
      <w:szCs w:val="14"/>
    </w:rPr>
  </w:style>
  <w:style w:type="character" w:styleId="Platzhaltertext">
    <w:name w:val="Placeholder Text"/>
    <w:basedOn w:val="Absatz-Standardschriftart"/>
    <w:rPr>
      <w:color w:val="808080"/>
    </w:rPr>
  </w:style>
  <w:style w:type="numbering" w:customStyle="1" w:styleId="List1">
    <w:name w:val="List 1"/>
    <w:basedOn w:val="Kei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suppressAutoHyphens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pPr>
      <w:suppressAutoHyphens/>
    </w:pPr>
  </w:style>
  <w:style w:type="paragraph" w:styleId="Beschriftung">
    <w:name w:val="caption"/>
    <w:basedOn w:val="Standard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Listenabsatz">
    <w:name w:val="List Paragraph"/>
    <w:basedOn w:val="Standard"/>
    <w:pPr>
      <w:suppressAutoHyphens/>
      <w:ind w:left="720"/>
    </w:pPr>
    <w:rPr>
      <w:rFonts w:cs="Mangal"/>
      <w:szCs w:val="21"/>
    </w:rPr>
  </w:style>
  <w:style w:type="paragraph" w:styleId="Sprechblasentext">
    <w:name w:val="Balloon Text"/>
    <w:basedOn w:val="Standard"/>
    <w:pPr>
      <w:suppressAutoHyphens/>
    </w:pPr>
    <w:rPr>
      <w:rFonts w:ascii="Tahoma" w:hAnsi="Tahoma" w:cs="Mangal"/>
      <w:sz w:val="16"/>
      <w:szCs w:val="1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prechblasentextZchn">
    <w:name w:val="Sprechblasentext Zchn"/>
    <w:basedOn w:val="Absatz-Standardschriftart"/>
    <w:rPr>
      <w:rFonts w:ascii="Tahoma" w:hAnsi="Tahoma" w:cs="Mangal"/>
      <w:sz w:val="16"/>
      <w:szCs w:val="14"/>
    </w:rPr>
  </w:style>
  <w:style w:type="character" w:styleId="Platzhaltertext">
    <w:name w:val="Placeholder Text"/>
    <w:basedOn w:val="Absatz-Standardschriftart"/>
    <w:rPr>
      <w:color w:val="808080"/>
    </w:rPr>
  </w:style>
  <w:style w:type="numbering" w:customStyle="1" w:styleId="List1">
    <w:name w:val="List 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86BCB24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D86BCB24.dotm</Template>
  <TotalTime>0</TotalTime>
  <Pages>6</Pages>
  <Words>953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Stewen</dc:creator>
  <cp:lastModifiedBy>Rösler, Mirja</cp:lastModifiedBy>
  <cp:revision>2</cp:revision>
  <cp:lastPrinted>2016-01-01T15:41:00Z</cp:lastPrinted>
  <dcterms:created xsi:type="dcterms:W3CDTF">2016-05-23T06:54:00Z</dcterms:created>
  <dcterms:modified xsi:type="dcterms:W3CDTF">2016-05-23T06:54:00Z</dcterms:modified>
</cp:coreProperties>
</file>